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7"/>
        <w:tblW w:w="9700"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082"/>
        <w:gridCol w:w="1485"/>
        <w:gridCol w:w="2242"/>
        <w:gridCol w:w="1018"/>
        <w:gridCol w:w="837"/>
        <w:gridCol w:w="581"/>
        <w:gridCol w:w="913"/>
        <w:gridCol w:w="771"/>
        <w:gridCol w:w="771"/>
      </w:tblGrid>
      <w:tr w14:paraId="53CDFE2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65" w:hRule="atLeast"/>
        </w:trPr>
        <w:tc>
          <w:tcPr>
            <w:tcW w:w="9700" w:type="dxa"/>
            <w:gridSpan w:val="9"/>
            <w:tcBorders>
              <w:top w:val="nil"/>
              <w:left w:val="nil"/>
              <w:bottom w:val="single" w:color="auto" w:sz="4" w:space="0"/>
              <w:right w:val="nil"/>
            </w:tcBorders>
            <w:vAlign w:val="top"/>
          </w:tcPr>
          <w:p w14:paraId="560528BD">
            <w:pPr>
              <w:widowControl/>
              <w:ind w:firstLine="801"/>
              <w:jc w:val="center"/>
              <w:rPr>
                <w:rFonts w:ascii="华文中宋" w:hAnsi="华文中宋" w:eastAsia="华文中宋" w:cs="宋体"/>
                <w:b/>
                <w:bCs/>
                <w:kern w:val="0"/>
                <w:sz w:val="40"/>
                <w:szCs w:val="40"/>
              </w:rPr>
            </w:pPr>
            <w:r>
              <w:rPr>
                <w:rFonts w:hint="eastAsia" w:ascii="华文中宋" w:hAnsi="华文中宋" w:eastAsia="华文中宋" w:cs="宋体"/>
                <w:b/>
                <w:bCs/>
                <w:kern w:val="0"/>
                <w:sz w:val="40"/>
                <w:szCs w:val="40"/>
                <w:lang w:val="en-US" w:eastAsia="zh-CN"/>
              </w:rPr>
              <w:t>XXX</w:t>
            </w:r>
            <w:r>
              <w:rPr>
                <w:rFonts w:hint="eastAsia" w:ascii="华文中宋" w:hAnsi="华文中宋" w:eastAsia="华文中宋" w:cs="宋体"/>
                <w:b/>
                <w:bCs/>
                <w:kern w:val="0"/>
                <w:sz w:val="40"/>
                <w:szCs w:val="40"/>
              </w:rPr>
              <w:t>职业学院教案首页暨教案</w:t>
            </w:r>
          </w:p>
        </w:tc>
      </w:tr>
      <w:tr w14:paraId="7EED4BE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9" w:hRule="atLeast"/>
        </w:trPr>
        <w:tc>
          <w:tcPr>
            <w:tcW w:w="2567" w:type="dxa"/>
            <w:gridSpan w:val="2"/>
            <w:tcBorders>
              <w:top w:val="single" w:color="auto" w:sz="4" w:space="0"/>
              <w:left w:val="single" w:color="auto" w:sz="4" w:space="0"/>
              <w:bottom w:val="single" w:color="auto" w:sz="4" w:space="0"/>
              <w:right w:val="single" w:color="auto" w:sz="4" w:space="0"/>
            </w:tcBorders>
            <w:vAlign w:val="center"/>
          </w:tcPr>
          <w:p w14:paraId="7B60598E">
            <w:pPr>
              <w:widowControl/>
              <w:jc w:val="left"/>
              <w:rPr>
                <w:rFonts w:ascii="宋体" w:hAnsi="宋体" w:eastAsia="宋体" w:cs="宋体"/>
                <w:kern w:val="0"/>
                <w:sz w:val="22"/>
              </w:rPr>
            </w:pPr>
            <w:r>
              <w:rPr>
                <w:rFonts w:hint="eastAsia" w:ascii="宋体" w:hAnsi="宋体" w:eastAsia="宋体" w:cs="宋体"/>
                <w:kern w:val="0"/>
                <w:sz w:val="22"/>
              </w:rPr>
              <w:t>教师姓名</w:t>
            </w:r>
          </w:p>
        </w:tc>
        <w:tc>
          <w:tcPr>
            <w:tcW w:w="3260" w:type="dxa"/>
            <w:gridSpan w:val="2"/>
            <w:tcBorders>
              <w:top w:val="single" w:color="auto" w:sz="4" w:space="0"/>
              <w:left w:val="nil"/>
              <w:bottom w:val="single" w:color="auto" w:sz="4" w:space="0"/>
              <w:right w:val="single" w:color="auto" w:sz="4" w:space="0"/>
            </w:tcBorders>
            <w:vAlign w:val="center"/>
          </w:tcPr>
          <w:p w14:paraId="510297A8">
            <w:pPr>
              <w:widowControl/>
              <w:jc w:val="left"/>
              <w:rPr>
                <w:rFonts w:hint="default" w:ascii="宋体" w:hAnsi="宋体" w:eastAsia="宋体" w:cs="宋体"/>
                <w:kern w:val="0"/>
                <w:sz w:val="22"/>
                <w:lang w:val="en-US" w:eastAsia="zh-CN"/>
              </w:rPr>
            </w:pPr>
            <w:r>
              <w:rPr>
                <w:rFonts w:hint="eastAsia" w:ascii="宋体" w:hAnsi="宋体" w:cs="宋体"/>
                <w:kern w:val="0"/>
                <w:sz w:val="22"/>
                <w:lang w:val="en-US" w:eastAsia="zh-CN"/>
              </w:rPr>
              <w:t>XXX</w:t>
            </w:r>
          </w:p>
        </w:tc>
        <w:tc>
          <w:tcPr>
            <w:tcW w:w="1418" w:type="dxa"/>
            <w:gridSpan w:val="2"/>
            <w:tcBorders>
              <w:top w:val="nil"/>
              <w:left w:val="nil"/>
              <w:bottom w:val="single" w:color="auto" w:sz="4" w:space="0"/>
              <w:right w:val="single" w:color="auto" w:sz="4" w:space="0"/>
            </w:tcBorders>
            <w:vAlign w:val="center"/>
          </w:tcPr>
          <w:p w14:paraId="6466ACB6">
            <w:pPr>
              <w:widowControl/>
              <w:jc w:val="left"/>
              <w:rPr>
                <w:rFonts w:ascii="宋体" w:hAnsi="宋体" w:eastAsia="宋体" w:cs="宋体"/>
                <w:kern w:val="0"/>
                <w:sz w:val="22"/>
              </w:rPr>
            </w:pPr>
            <w:r>
              <w:rPr>
                <w:rFonts w:hint="eastAsia" w:ascii="宋体" w:hAnsi="宋体" w:eastAsia="宋体" w:cs="宋体"/>
                <w:kern w:val="0"/>
                <w:sz w:val="22"/>
              </w:rPr>
              <w:t>课程名称</w:t>
            </w:r>
          </w:p>
        </w:tc>
        <w:tc>
          <w:tcPr>
            <w:tcW w:w="2455" w:type="dxa"/>
            <w:gridSpan w:val="3"/>
            <w:tcBorders>
              <w:top w:val="single" w:color="auto" w:sz="4" w:space="0"/>
              <w:left w:val="nil"/>
              <w:bottom w:val="single" w:color="auto" w:sz="4" w:space="0"/>
              <w:right w:val="single" w:color="auto" w:sz="4" w:space="0"/>
            </w:tcBorders>
            <w:vAlign w:val="center"/>
          </w:tcPr>
          <w:p w14:paraId="53DC3C0A">
            <w:pPr>
              <w:widowControl/>
              <w:jc w:val="left"/>
              <w:rPr>
                <w:rFonts w:ascii="宋体" w:hAnsi="宋体" w:eastAsia="宋体" w:cs="宋体"/>
                <w:kern w:val="0"/>
                <w:sz w:val="22"/>
              </w:rPr>
            </w:pPr>
            <w:r>
              <w:rPr>
                <w:rFonts w:hint="eastAsia" w:ascii="宋体" w:hAnsi="宋体" w:eastAsia="宋体" w:cs="宋体"/>
                <w:kern w:val="0"/>
                <w:sz w:val="22"/>
              </w:rPr>
              <w:t>工装夹具设计</w:t>
            </w:r>
          </w:p>
        </w:tc>
      </w:tr>
      <w:tr w14:paraId="24E359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9" w:hRule="atLeast"/>
        </w:trPr>
        <w:tc>
          <w:tcPr>
            <w:tcW w:w="2567" w:type="dxa"/>
            <w:gridSpan w:val="2"/>
            <w:tcBorders>
              <w:top w:val="single" w:color="auto" w:sz="4" w:space="0"/>
              <w:left w:val="single" w:color="auto" w:sz="4" w:space="0"/>
              <w:bottom w:val="single" w:color="auto" w:sz="4" w:space="0"/>
              <w:right w:val="single" w:color="auto" w:sz="4" w:space="0"/>
            </w:tcBorders>
            <w:vAlign w:val="center"/>
          </w:tcPr>
          <w:p w14:paraId="3261B9D6">
            <w:pPr>
              <w:widowControl/>
              <w:jc w:val="left"/>
              <w:rPr>
                <w:rFonts w:ascii="宋体" w:hAnsi="宋体" w:eastAsia="宋体" w:cs="宋体"/>
                <w:kern w:val="0"/>
                <w:sz w:val="22"/>
              </w:rPr>
            </w:pPr>
            <w:r>
              <w:rPr>
                <w:rFonts w:hint="eastAsia" w:ascii="宋体" w:hAnsi="宋体" w:eastAsia="宋体" w:cs="宋体"/>
                <w:kern w:val="0"/>
                <w:sz w:val="22"/>
              </w:rPr>
              <w:t>授课班级</w:t>
            </w:r>
          </w:p>
        </w:tc>
        <w:tc>
          <w:tcPr>
            <w:tcW w:w="3260" w:type="dxa"/>
            <w:gridSpan w:val="2"/>
            <w:tcBorders>
              <w:top w:val="single" w:color="auto" w:sz="4" w:space="0"/>
              <w:left w:val="nil"/>
              <w:bottom w:val="single" w:color="auto" w:sz="4" w:space="0"/>
              <w:right w:val="single" w:color="auto" w:sz="4" w:space="0"/>
            </w:tcBorders>
            <w:vAlign w:val="center"/>
          </w:tcPr>
          <w:p w14:paraId="1BF26F8B">
            <w:pPr>
              <w:widowControl/>
              <w:jc w:val="left"/>
              <w:rPr>
                <w:rFonts w:hint="default" w:ascii="宋体" w:hAnsi="宋体" w:eastAsia="宋体" w:cs="宋体"/>
                <w:kern w:val="0"/>
                <w:sz w:val="22"/>
                <w:lang w:val="en-US" w:eastAsia="zh-CN"/>
              </w:rPr>
            </w:pPr>
            <w:r>
              <w:rPr>
                <w:rFonts w:hint="eastAsia" w:ascii="宋体" w:hAnsi="宋体" w:cs="宋体"/>
                <w:kern w:val="0"/>
                <w:sz w:val="22"/>
                <w:lang w:val="en-US" w:eastAsia="zh-CN"/>
              </w:rPr>
              <w:t>XXX</w:t>
            </w:r>
          </w:p>
        </w:tc>
        <w:tc>
          <w:tcPr>
            <w:tcW w:w="1418" w:type="dxa"/>
            <w:gridSpan w:val="2"/>
            <w:tcBorders>
              <w:top w:val="nil"/>
              <w:left w:val="nil"/>
              <w:bottom w:val="single" w:color="auto" w:sz="4" w:space="0"/>
              <w:right w:val="single" w:color="auto" w:sz="4" w:space="0"/>
            </w:tcBorders>
            <w:vAlign w:val="center"/>
          </w:tcPr>
          <w:p w14:paraId="25954D70">
            <w:pPr>
              <w:widowControl/>
              <w:jc w:val="left"/>
              <w:rPr>
                <w:rFonts w:ascii="宋体" w:hAnsi="宋体" w:eastAsia="宋体" w:cs="宋体"/>
                <w:kern w:val="0"/>
                <w:sz w:val="22"/>
              </w:rPr>
            </w:pPr>
            <w:r>
              <w:rPr>
                <w:rFonts w:hint="eastAsia" w:ascii="宋体" w:hAnsi="宋体" w:eastAsia="宋体" w:cs="宋体"/>
                <w:kern w:val="0"/>
                <w:sz w:val="22"/>
              </w:rPr>
              <w:t>授课时间</w:t>
            </w:r>
          </w:p>
        </w:tc>
        <w:tc>
          <w:tcPr>
            <w:tcW w:w="2455" w:type="dxa"/>
            <w:gridSpan w:val="3"/>
            <w:tcBorders>
              <w:top w:val="single" w:color="auto" w:sz="4" w:space="0"/>
              <w:left w:val="nil"/>
              <w:bottom w:val="single" w:color="auto" w:sz="4" w:space="0"/>
              <w:right w:val="single" w:color="auto" w:sz="4" w:space="0"/>
            </w:tcBorders>
            <w:vAlign w:val="center"/>
          </w:tcPr>
          <w:p w14:paraId="7E23650E">
            <w:pPr>
              <w:widowControl/>
              <w:jc w:val="left"/>
              <w:rPr>
                <w:rFonts w:ascii="宋体" w:hAnsi="宋体" w:eastAsia="宋体" w:cs="宋体"/>
                <w:kern w:val="0"/>
                <w:sz w:val="22"/>
              </w:rPr>
            </w:pPr>
            <w:r>
              <w:rPr>
                <w:rFonts w:hint="eastAsia" w:ascii="宋体" w:hAnsi="宋体" w:eastAsia="宋体" w:cs="宋体"/>
                <w:kern w:val="0"/>
                <w:sz w:val="22"/>
              </w:rPr>
              <w:t>　</w:t>
            </w:r>
          </w:p>
        </w:tc>
      </w:tr>
      <w:tr w14:paraId="5DFB6C8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9" w:hRule="atLeast"/>
        </w:trPr>
        <w:tc>
          <w:tcPr>
            <w:tcW w:w="2567" w:type="dxa"/>
            <w:gridSpan w:val="2"/>
            <w:tcBorders>
              <w:top w:val="single" w:color="auto" w:sz="4" w:space="0"/>
              <w:left w:val="single" w:color="auto" w:sz="4" w:space="0"/>
              <w:bottom w:val="single" w:color="auto" w:sz="4" w:space="0"/>
              <w:right w:val="single" w:color="auto" w:sz="4" w:space="0"/>
            </w:tcBorders>
            <w:vAlign w:val="center"/>
          </w:tcPr>
          <w:p w14:paraId="3EAF5AA3">
            <w:pPr>
              <w:widowControl/>
              <w:jc w:val="left"/>
              <w:rPr>
                <w:rFonts w:ascii="宋体" w:hAnsi="宋体" w:eastAsia="宋体" w:cs="宋体"/>
                <w:kern w:val="0"/>
                <w:sz w:val="22"/>
              </w:rPr>
            </w:pPr>
            <w:r>
              <w:rPr>
                <w:rFonts w:hint="eastAsia" w:ascii="宋体" w:hAnsi="宋体" w:eastAsia="宋体" w:cs="宋体"/>
                <w:kern w:val="0"/>
                <w:sz w:val="22"/>
              </w:rPr>
              <w:t>授课主题</w:t>
            </w:r>
          </w:p>
        </w:tc>
        <w:tc>
          <w:tcPr>
            <w:tcW w:w="7133" w:type="dxa"/>
            <w:gridSpan w:val="7"/>
            <w:tcBorders>
              <w:top w:val="single" w:color="auto" w:sz="4" w:space="0"/>
              <w:left w:val="nil"/>
              <w:bottom w:val="single" w:color="auto" w:sz="4" w:space="0"/>
              <w:right w:val="single" w:color="auto" w:sz="4" w:space="0"/>
            </w:tcBorders>
            <w:vAlign w:val="center"/>
          </w:tcPr>
          <w:p w14:paraId="7C674C21">
            <w:pPr>
              <w:widowControl/>
              <w:jc w:val="left"/>
              <w:rPr>
                <w:rFonts w:hint="eastAsia" w:ascii="宋体" w:hAnsi="宋体" w:eastAsia="宋体" w:cs="宋体"/>
                <w:kern w:val="0"/>
                <w:sz w:val="22"/>
                <w:lang w:val="en-US" w:eastAsia="zh-CN"/>
              </w:rPr>
            </w:pPr>
            <w:r>
              <w:rPr>
                <w:rFonts w:hint="eastAsia" w:ascii="宋体" w:hAnsi="宋体" w:cs="宋体"/>
                <w:kern w:val="0"/>
                <w:sz w:val="22"/>
                <w:lang w:val="en-US" w:eastAsia="zh-CN"/>
              </w:rPr>
              <w:t>12.分析常见铣床夹具</w:t>
            </w:r>
          </w:p>
        </w:tc>
      </w:tr>
      <w:tr w14:paraId="4E1AA07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42" w:hRule="atLeast"/>
        </w:trPr>
        <w:tc>
          <w:tcPr>
            <w:tcW w:w="1082" w:type="dxa"/>
            <w:vMerge w:val="restart"/>
            <w:tcBorders>
              <w:top w:val="nil"/>
              <w:left w:val="single" w:color="auto" w:sz="4" w:space="0"/>
              <w:bottom w:val="single" w:color="auto" w:sz="4" w:space="0"/>
              <w:right w:val="single" w:color="auto" w:sz="4" w:space="0"/>
            </w:tcBorders>
            <w:vAlign w:val="center"/>
          </w:tcPr>
          <w:p w14:paraId="756078D2">
            <w:pPr>
              <w:widowControl/>
              <w:jc w:val="left"/>
              <w:rPr>
                <w:rFonts w:ascii="宋体" w:hAnsi="宋体" w:eastAsia="宋体" w:cs="宋体"/>
                <w:kern w:val="0"/>
                <w:sz w:val="22"/>
              </w:rPr>
            </w:pPr>
            <w:r>
              <w:rPr>
                <w:rFonts w:hint="eastAsia" w:ascii="宋体" w:hAnsi="宋体" w:eastAsia="宋体" w:cs="宋体"/>
                <w:kern w:val="0"/>
                <w:sz w:val="22"/>
              </w:rPr>
              <w:t>教  学  目  标</w:t>
            </w:r>
          </w:p>
        </w:tc>
        <w:tc>
          <w:tcPr>
            <w:tcW w:w="1485" w:type="dxa"/>
            <w:tcBorders>
              <w:top w:val="nil"/>
              <w:left w:val="nil"/>
              <w:bottom w:val="single" w:color="auto" w:sz="4" w:space="0"/>
              <w:right w:val="single" w:color="auto" w:sz="4" w:space="0"/>
            </w:tcBorders>
            <w:vAlign w:val="center"/>
          </w:tcPr>
          <w:p w14:paraId="4BD9362D">
            <w:pPr>
              <w:widowControl/>
              <w:jc w:val="left"/>
              <w:rPr>
                <w:rFonts w:ascii="宋体" w:hAnsi="宋体" w:eastAsia="宋体" w:cs="宋体"/>
                <w:kern w:val="0"/>
                <w:sz w:val="22"/>
              </w:rPr>
            </w:pPr>
            <w:r>
              <w:rPr>
                <w:rFonts w:hint="eastAsia" w:ascii="宋体" w:hAnsi="宋体" w:eastAsia="宋体" w:cs="宋体"/>
                <w:kern w:val="0"/>
                <w:sz w:val="22"/>
              </w:rPr>
              <w:t>素质目标</w:t>
            </w:r>
          </w:p>
        </w:tc>
        <w:tc>
          <w:tcPr>
            <w:tcW w:w="7133" w:type="dxa"/>
            <w:gridSpan w:val="7"/>
            <w:tcBorders>
              <w:top w:val="single" w:color="auto" w:sz="4" w:space="0"/>
              <w:left w:val="nil"/>
              <w:bottom w:val="single" w:color="auto" w:sz="4" w:space="0"/>
              <w:right w:val="single" w:color="auto" w:sz="4" w:space="0"/>
            </w:tcBorders>
            <w:vAlign w:val="center"/>
          </w:tcPr>
          <w:p w14:paraId="6144B3AC">
            <w:pPr>
              <w:widowControl/>
              <w:jc w:val="left"/>
              <w:rPr>
                <w:rFonts w:hint="eastAsia" w:ascii="宋体" w:hAnsi="宋体" w:eastAsia="宋体" w:cs="宋体"/>
                <w:kern w:val="0"/>
                <w:sz w:val="22"/>
                <w:lang w:val="en-US" w:eastAsia="zh-CN"/>
              </w:rPr>
            </w:pPr>
            <w:r>
              <w:rPr>
                <w:rFonts w:hint="eastAsia" w:ascii="宋体" w:hAnsi="宋体" w:cs="宋体"/>
                <w:kern w:val="0"/>
                <w:sz w:val="22"/>
                <w:lang w:val="en-US" w:eastAsia="zh-CN"/>
              </w:rPr>
              <w:t>了解常见铣床夹具</w:t>
            </w:r>
          </w:p>
        </w:tc>
      </w:tr>
      <w:tr w14:paraId="49C7092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42" w:hRule="atLeast"/>
        </w:trPr>
        <w:tc>
          <w:tcPr>
            <w:tcW w:w="1082" w:type="dxa"/>
            <w:vMerge w:val="continue"/>
            <w:tcBorders>
              <w:top w:val="nil"/>
              <w:left w:val="single" w:color="auto" w:sz="4" w:space="0"/>
              <w:bottom w:val="single" w:color="auto" w:sz="4" w:space="0"/>
              <w:right w:val="single" w:color="auto" w:sz="4" w:space="0"/>
            </w:tcBorders>
            <w:vAlign w:val="center"/>
          </w:tcPr>
          <w:p w14:paraId="34C8F225">
            <w:pPr>
              <w:widowControl/>
              <w:jc w:val="left"/>
              <w:rPr>
                <w:rFonts w:ascii="宋体" w:hAnsi="宋体" w:eastAsia="宋体" w:cs="宋体"/>
                <w:kern w:val="0"/>
                <w:sz w:val="22"/>
              </w:rPr>
            </w:pPr>
          </w:p>
        </w:tc>
        <w:tc>
          <w:tcPr>
            <w:tcW w:w="1485" w:type="dxa"/>
            <w:tcBorders>
              <w:top w:val="nil"/>
              <w:left w:val="nil"/>
              <w:bottom w:val="single" w:color="auto" w:sz="4" w:space="0"/>
              <w:right w:val="single" w:color="auto" w:sz="4" w:space="0"/>
            </w:tcBorders>
            <w:vAlign w:val="center"/>
          </w:tcPr>
          <w:p w14:paraId="40B622EA">
            <w:pPr>
              <w:widowControl/>
              <w:jc w:val="left"/>
              <w:rPr>
                <w:rFonts w:ascii="宋体" w:hAnsi="宋体" w:eastAsia="宋体" w:cs="宋体"/>
                <w:kern w:val="0"/>
                <w:sz w:val="22"/>
              </w:rPr>
            </w:pPr>
            <w:r>
              <w:rPr>
                <w:rFonts w:hint="eastAsia" w:ascii="宋体" w:hAnsi="宋体" w:eastAsia="宋体" w:cs="宋体"/>
                <w:kern w:val="0"/>
                <w:sz w:val="22"/>
              </w:rPr>
              <w:t>知识目标</w:t>
            </w:r>
          </w:p>
        </w:tc>
        <w:tc>
          <w:tcPr>
            <w:tcW w:w="7133" w:type="dxa"/>
            <w:gridSpan w:val="7"/>
            <w:tcBorders>
              <w:top w:val="single" w:color="auto" w:sz="4" w:space="0"/>
              <w:left w:val="nil"/>
              <w:bottom w:val="single" w:color="auto" w:sz="4" w:space="0"/>
              <w:right w:val="single" w:color="auto" w:sz="4" w:space="0"/>
            </w:tcBorders>
            <w:vAlign w:val="center"/>
          </w:tcPr>
          <w:p w14:paraId="597A3748">
            <w:pPr>
              <w:widowControl/>
              <w:jc w:val="left"/>
              <w:rPr>
                <w:rFonts w:hint="eastAsia" w:ascii="宋体" w:hAnsi="宋体" w:eastAsia="宋体" w:cs="宋体"/>
                <w:kern w:val="0"/>
                <w:sz w:val="22"/>
                <w:lang w:val="en-US" w:eastAsia="zh-CN"/>
              </w:rPr>
            </w:pPr>
            <w:r>
              <w:rPr>
                <w:rFonts w:hint="eastAsia" w:ascii="宋体" w:hAnsi="宋体" w:cs="宋体"/>
                <w:kern w:val="0"/>
                <w:sz w:val="22"/>
                <w:lang w:val="en-US" w:eastAsia="zh-CN"/>
              </w:rPr>
              <w:t>铣床夹具主要加工对象</w:t>
            </w:r>
          </w:p>
        </w:tc>
      </w:tr>
      <w:tr w14:paraId="27A177B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42" w:hRule="atLeast"/>
        </w:trPr>
        <w:tc>
          <w:tcPr>
            <w:tcW w:w="1082" w:type="dxa"/>
            <w:vMerge w:val="continue"/>
            <w:tcBorders>
              <w:top w:val="nil"/>
              <w:left w:val="single" w:color="auto" w:sz="4" w:space="0"/>
              <w:bottom w:val="single" w:color="auto" w:sz="4" w:space="0"/>
              <w:right w:val="single" w:color="auto" w:sz="4" w:space="0"/>
            </w:tcBorders>
            <w:vAlign w:val="center"/>
          </w:tcPr>
          <w:p w14:paraId="6445D9F1">
            <w:pPr>
              <w:widowControl/>
              <w:jc w:val="left"/>
              <w:rPr>
                <w:rFonts w:ascii="宋体" w:hAnsi="宋体" w:eastAsia="宋体" w:cs="宋体"/>
                <w:kern w:val="0"/>
                <w:sz w:val="22"/>
              </w:rPr>
            </w:pPr>
          </w:p>
        </w:tc>
        <w:tc>
          <w:tcPr>
            <w:tcW w:w="1485" w:type="dxa"/>
            <w:tcBorders>
              <w:top w:val="nil"/>
              <w:left w:val="nil"/>
              <w:bottom w:val="single" w:color="auto" w:sz="4" w:space="0"/>
              <w:right w:val="single" w:color="auto" w:sz="4" w:space="0"/>
            </w:tcBorders>
            <w:vAlign w:val="center"/>
          </w:tcPr>
          <w:p w14:paraId="0E67B8D8">
            <w:pPr>
              <w:widowControl/>
              <w:jc w:val="left"/>
              <w:rPr>
                <w:rFonts w:ascii="宋体" w:hAnsi="宋体" w:eastAsia="宋体" w:cs="宋体"/>
                <w:kern w:val="0"/>
                <w:sz w:val="22"/>
              </w:rPr>
            </w:pPr>
            <w:r>
              <w:rPr>
                <w:rFonts w:hint="eastAsia" w:ascii="宋体" w:hAnsi="宋体" w:eastAsia="宋体" w:cs="宋体"/>
                <w:kern w:val="0"/>
                <w:sz w:val="22"/>
              </w:rPr>
              <w:t>能力目标</w:t>
            </w:r>
          </w:p>
        </w:tc>
        <w:tc>
          <w:tcPr>
            <w:tcW w:w="7133" w:type="dxa"/>
            <w:gridSpan w:val="7"/>
            <w:tcBorders>
              <w:top w:val="single" w:color="auto" w:sz="4" w:space="0"/>
              <w:left w:val="nil"/>
              <w:bottom w:val="single" w:color="auto" w:sz="4" w:space="0"/>
              <w:right w:val="single" w:color="auto" w:sz="4" w:space="0"/>
            </w:tcBorders>
            <w:vAlign w:val="center"/>
          </w:tcPr>
          <w:p w14:paraId="79DFD08C">
            <w:pPr>
              <w:widowControl/>
              <w:jc w:val="left"/>
              <w:rPr>
                <w:rFonts w:hint="eastAsia" w:ascii="宋体" w:hAnsi="宋体" w:eastAsia="宋体" w:cs="宋体"/>
                <w:kern w:val="0"/>
                <w:sz w:val="22"/>
                <w:lang w:val="en-US" w:eastAsia="zh-CN"/>
              </w:rPr>
            </w:pPr>
            <w:r>
              <w:rPr>
                <w:rFonts w:hint="eastAsia" w:ascii="宋体" w:hAnsi="宋体" w:cs="宋体"/>
                <w:kern w:val="0"/>
                <w:sz w:val="22"/>
                <w:lang w:val="en-US" w:eastAsia="zh-CN"/>
              </w:rPr>
              <w:t>铣床夹具分类</w:t>
            </w:r>
          </w:p>
        </w:tc>
      </w:tr>
      <w:tr w14:paraId="43EA286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9" w:hRule="atLeast"/>
        </w:trPr>
        <w:tc>
          <w:tcPr>
            <w:tcW w:w="2567" w:type="dxa"/>
            <w:gridSpan w:val="2"/>
            <w:tcBorders>
              <w:top w:val="single" w:color="auto" w:sz="4" w:space="0"/>
              <w:left w:val="single" w:color="auto" w:sz="4" w:space="0"/>
              <w:bottom w:val="single" w:color="auto" w:sz="4" w:space="0"/>
              <w:right w:val="single" w:color="auto" w:sz="4" w:space="0"/>
            </w:tcBorders>
            <w:vAlign w:val="center"/>
          </w:tcPr>
          <w:p w14:paraId="0999D2D5">
            <w:pPr>
              <w:widowControl/>
              <w:jc w:val="left"/>
              <w:rPr>
                <w:rFonts w:ascii="宋体" w:hAnsi="宋体" w:eastAsia="宋体" w:cs="宋体"/>
                <w:kern w:val="0"/>
                <w:sz w:val="22"/>
              </w:rPr>
            </w:pPr>
            <w:r>
              <w:rPr>
                <w:rFonts w:hint="eastAsia" w:ascii="宋体" w:hAnsi="宋体" w:eastAsia="宋体" w:cs="宋体"/>
                <w:kern w:val="0"/>
                <w:sz w:val="22"/>
              </w:rPr>
              <w:t>教学形式</w:t>
            </w:r>
          </w:p>
        </w:tc>
        <w:tc>
          <w:tcPr>
            <w:tcW w:w="2242" w:type="dxa"/>
            <w:tcBorders>
              <w:top w:val="nil"/>
              <w:left w:val="nil"/>
              <w:bottom w:val="single" w:color="auto" w:sz="4" w:space="0"/>
              <w:right w:val="single" w:color="auto" w:sz="4" w:space="0"/>
            </w:tcBorders>
            <w:vAlign w:val="center"/>
          </w:tcPr>
          <w:p w14:paraId="2297E054">
            <w:pPr>
              <w:widowControl/>
              <w:jc w:val="left"/>
              <w:rPr>
                <w:rFonts w:ascii="宋体" w:hAnsi="宋体" w:eastAsia="宋体" w:cs="宋体"/>
                <w:kern w:val="0"/>
                <w:sz w:val="22"/>
              </w:rPr>
            </w:pPr>
            <w:r>
              <w:rPr>
                <w:rFonts w:hint="eastAsia" w:ascii="宋体" w:hAnsi="宋体" w:eastAsia="宋体" w:cs="宋体"/>
                <w:kern w:val="0"/>
                <w:sz w:val="22"/>
              </w:rPr>
              <w:t>知识讲授</w:t>
            </w:r>
          </w:p>
        </w:tc>
        <w:tc>
          <w:tcPr>
            <w:tcW w:w="1855" w:type="dxa"/>
            <w:gridSpan w:val="2"/>
            <w:tcBorders>
              <w:top w:val="nil"/>
              <w:left w:val="nil"/>
              <w:bottom w:val="single" w:color="auto" w:sz="4" w:space="0"/>
              <w:right w:val="single" w:color="auto" w:sz="4" w:space="0"/>
            </w:tcBorders>
            <w:vAlign w:val="center"/>
          </w:tcPr>
          <w:p w14:paraId="4172036C">
            <w:pPr>
              <w:widowControl/>
              <w:jc w:val="left"/>
              <w:rPr>
                <w:rFonts w:ascii="宋体" w:hAnsi="宋体" w:eastAsia="宋体" w:cs="宋体"/>
                <w:kern w:val="0"/>
                <w:sz w:val="22"/>
              </w:rPr>
            </w:pPr>
            <w:r>
              <w:rPr>
                <w:rFonts w:hint="eastAsia" w:ascii="宋体" w:hAnsi="宋体" w:eastAsia="宋体" w:cs="宋体"/>
                <w:kern w:val="0"/>
                <w:sz w:val="22"/>
              </w:rPr>
              <w:t>多媒体教学</w:t>
            </w:r>
          </w:p>
        </w:tc>
        <w:tc>
          <w:tcPr>
            <w:tcW w:w="1494" w:type="dxa"/>
            <w:gridSpan w:val="2"/>
            <w:tcBorders>
              <w:top w:val="nil"/>
              <w:left w:val="nil"/>
              <w:bottom w:val="single" w:color="auto" w:sz="4" w:space="0"/>
              <w:right w:val="single" w:color="auto" w:sz="4" w:space="0"/>
            </w:tcBorders>
            <w:vAlign w:val="center"/>
          </w:tcPr>
          <w:p w14:paraId="171B5F20">
            <w:pPr>
              <w:widowControl/>
              <w:jc w:val="left"/>
              <w:rPr>
                <w:rFonts w:ascii="宋体" w:hAnsi="宋体" w:eastAsia="宋体" w:cs="宋体"/>
                <w:kern w:val="0"/>
                <w:sz w:val="22"/>
              </w:rPr>
            </w:pPr>
            <w:r>
              <w:rPr>
                <w:rFonts w:hint="eastAsia" w:ascii="宋体" w:hAnsi="宋体" w:eastAsia="宋体" w:cs="宋体"/>
                <w:kern w:val="0"/>
                <w:sz w:val="22"/>
              </w:rPr>
              <w:t>实践教学</w:t>
            </w:r>
          </w:p>
        </w:tc>
        <w:tc>
          <w:tcPr>
            <w:tcW w:w="771" w:type="dxa"/>
            <w:tcBorders>
              <w:top w:val="nil"/>
              <w:left w:val="nil"/>
              <w:bottom w:val="single" w:color="auto" w:sz="4" w:space="0"/>
              <w:right w:val="single" w:color="auto" w:sz="4" w:space="0"/>
            </w:tcBorders>
            <w:vAlign w:val="center"/>
          </w:tcPr>
          <w:p w14:paraId="71B73742">
            <w:pPr>
              <w:widowControl/>
              <w:jc w:val="left"/>
              <w:rPr>
                <w:rFonts w:ascii="宋体" w:hAnsi="宋体" w:eastAsia="宋体" w:cs="宋体"/>
                <w:kern w:val="0"/>
                <w:sz w:val="22"/>
              </w:rPr>
            </w:pPr>
            <w:r>
              <w:rPr>
                <w:rFonts w:hint="eastAsia" w:ascii="宋体" w:hAnsi="宋体" w:eastAsia="宋体" w:cs="宋体"/>
                <w:kern w:val="0"/>
                <w:sz w:val="22"/>
              </w:rPr>
              <w:t>考试</w:t>
            </w:r>
          </w:p>
        </w:tc>
        <w:tc>
          <w:tcPr>
            <w:tcW w:w="771" w:type="dxa"/>
            <w:tcBorders>
              <w:top w:val="nil"/>
              <w:left w:val="nil"/>
              <w:bottom w:val="single" w:color="auto" w:sz="4" w:space="0"/>
              <w:right w:val="single" w:color="auto" w:sz="4" w:space="0"/>
            </w:tcBorders>
            <w:vAlign w:val="center"/>
          </w:tcPr>
          <w:p w14:paraId="1F2C56B5">
            <w:pPr>
              <w:widowControl/>
              <w:jc w:val="left"/>
              <w:rPr>
                <w:rFonts w:ascii="宋体" w:hAnsi="宋体" w:eastAsia="宋体" w:cs="宋体"/>
                <w:kern w:val="0"/>
                <w:sz w:val="22"/>
              </w:rPr>
            </w:pPr>
            <w:r>
              <w:rPr>
                <w:rFonts w:hint="eastAsia" w:ascii="宋体" w:hAnsi="宋体" w:eastAsia="宋体" w:cs="宋体"/>
                <w:kern w:val="0"/>
                <w:sz w:val="22"/>
              </w:rPr>
              <w:t>其他</w:t>
            </w:r>
          </w:p>
        </w:tc>
      </w:tr>
      <w:tr w14:paraId="61B8B28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9" w:hRule="atLeast"/>
        </w:trPr>
        <w:tc>
          <w:tcPr>
            <w:tcW w:w="2567" w:type="dxa"/>
            <w:gridSpan w:val="2"/>
            <w:tcBorders>
              <w:top w:val="single" w:color="auto" w:sz="4" w:space="0"/>
              <w:left w:val="single" w:color="auto" w:sz="4" w:space="0"/>
              <w:bottom w:val="single" w:color="auto" w:sz="4" w:space="0"/>
              <w:right w:val="single" w:color="auto" w:sz="4" w:space="0"/>
            </w:tcBorders>
            <w:vAlign w:val="center"/>
          </w:tcPr>
          <w:p w14:paraId="379F89DC">
            <w:pPr>
              <w:widowControl/>
              <w:jc w:val="left"/>
              <w:rPr>
                <w:rFonts w:ascii="宋体" w:hAnsi="宋体" w:eastAsia="宋体" w:cs="宋体"/>
                <w:kern w:val="0"/>
                <w:sz w:val="22"/>
              </w:rPr>
            </w:pPr>
            <w:r>
              <w:rPr>
                <w:rFonts w:hint="eastAsia" w:ascii="宋体" w:hAnsi="宋体" w:eastAsia="宋体" w:cs="宋体"/>
                <w:kern w:val="0"/>
                <w:sz w:val="22"/>
              </w:rPr>
              <w:t>教学节数</w:t>
            </w:r>
          </w:p>
        </w:tc>
        <w:tc>
          <w:tcPr>
            <w:tcW w:w="2242" w:type="dxa"/>
            <w:tcBorders>
              <w:top w:val="nil"/>
              <w:left w:val="nil"/>
              <w:bottom w:val="single" w:color="auto" w:sz="4" w:space="0"/>
              <w:right w:val="single" w:color="auto" w:sz="4" w:space="0"/>
            </w:tcBorders>
            <w:vAlign w:val="center"/>
          </w:tcPr>
          <w:p w14:paraId="489D0E81">
            <w:pPr>
              <w:widowControl/>
              <w:jc w:val="left"/>
              <w:rPr>
                <w:rFonts w:hint="eastAsia" w:ascii="宋体" w:hAnsi="宋体" w:eastAsia="宋体" w:cs="宋体"/>
                <w:kern w:val="0"/>
                <w:sz w:val="22"/>
                <w:lang w:eastAsia="zh-CN"/>
              </w:rPr>
            </w:pPr>
            <w:r>
              <w:rPr>
                <w:rFonts w:hint="eastAsia" w:ascii="宋体" w:hAnsi="宋体" w:cs="宋体"/>
                <w:kern w:val="0"/>
                <w:sz w:val="22"/>
                <w:lang w:val="en-US" w:eastAsia="zh-CN"/>
              </w:rPr>
              <w:t>2</w:t>
            </w:r>
          </w:p>
        </w:tc>
        <w:tc>
          <w:tcPr>
            <w:tcW w:w="1855" w:type="dxa"/>
            <w:gridSpan w:val="2"/>
            <w:tcBorders>
              <w:top w:val="nil"/>
              <w:left w:val="nil"/>
              <w:bottom w:val="single" w:color="auto" w:sz="4" w:space="0"/>
              <w:right w:val="single" w:color="auto" w:sz="4" w:space="0"/>
            </w:tcBorders>
            <w:vAlign w:val="center"/>
          </w:tcPr>
          <w:p w14:paraId="1BAA2385">
            <w:pPr>
              <w:widowControl/>
              <w:jc w:val="left"/>
              <w:rPr>
                <w:rFonts w:ascii="宋体" w:hAnsi="宋体" w:eastAsia="宋体" w:cs="宋体"/>
                <w:kern w:val="0"/>
                <w:sz w:val="22"/>
              </w:rPr>
            </w:pPr>
            <w:r>
              <w:rPr>
                <w:rFonts w:hint="eastAsia" w:ascii="宋体" w:hAnsi="宋体" w:eastAsia="宋体" w:cs="宋体"/>
                <w:kern w:val="0"/>
                <w:sz w:val="22"/>
              </w:rPr>
              <w:t>　</w:t>
            </w:r>
          </w:p>
        </w:tc>
        <w:tc>
          <w:tcPr>
            <w:tcW w:w="1494" w:type="dxa"/>
            <w:gridSpan w:val="2"/>
            <w:tcBorders>
              <w:top w:val="nil"/>
              <w:left w:val="nil"/>
              <w:bottom w:val="single" w:color="auto" w:sz="4" w:space="0"/>
              <w:right w:val="single" w:color="auto" w:sz="4" w:space="0"/>
            </w:tcBorders>
            <w:vAlign w:val="center"/>
          </w:tcPr>
          <w:p w14:paraId="54AAC967">
            <w:pPr>
              <w:widowControl/>
              <w:jc w:val="left"/>
              <w:rPr>
                <w:rFonts w:hint="eastAsia" w:ascii="宋体" w:hAnsi="宋体" w:eastAsia="宋体" w:cs="宋体"/>
                <w:kern w:val="0"/>
                <w:sz w:val="22"/>
                <w:lang w:eastAsia="zh-CN"/>
              </w:rPr>
            </w:pPr>
          </w:p>
        </w:tc>
        <w:tc>
          <w:tcPr>
            <w:tcW w:w="771" w:type="dxa"/>
            <w:tcBorders>
              <w:top w:val="nil"/>
              <w:left w:val="nil"/>
              <w:bottom w:val="single" w:color="auto" w:sz="4" w:space="0"/>
              <w:right w:val="single" w:color="auto" w:sz="4" w:space="0"/>
            </w:tcBorders>
            <w:vAlign w:val="center"/>
          </w:tcPr>
          <w:p w14:paraId="44650AA1">
            <w:pPr>
              <w:widowControl/>
              <w:jc w:val="left"/>
              <w:rPr>
                <w:rFonts w:ascii="宋体" w:hAnsi="宋体" w:eastAsia="宋体" w:cs="宋体"/>
                <w:kern w:val="0"/>
                <w:sz w:val="22"/>
              </w:rPr>
            </w:pPr>
            <w:r>
              <w:rPr>
                <w:rFonts w:hint="eastAsia" w:ascii="宋体" w:hAnsi="宋体" w:eastAsia="宋体" w:cs="宋体"/>
                <w:kern w:val="0"/>
                <w:sz w:val="22"/>
              </w:rPr>
              <w:t>　</w:t>
            </w:r>
          </w:p>
        </w:tc>
        <w:tc>
          <w:tcPr>
            <w:tcW w:w="771" w:type="dxa"/>
            <w:tcBorders>
              <w:top w:val="nil"/>
              <w:left w:val="nil"/>
              <w:bottom w:val="single" w:color="auto" w:sz="4" w:space="0"/>
              <w:right w:val="single" w:color="auto" w:sz="4" w:space="0"/>
            </w:tcBorders>
            <w:vAlign w:val="center"/>
          </w:tcPr>
          <w:p w14:paraId="2633FB23">
            <w:pPr>
              <w:widowControl/>
              <w:jc w:val="left"/>
              <w:rPr>
                <w:rFonts w:ascii="宋体" w:hAnsi="宋体" w:eastAsia="宋体" w:cs="宋体"/>
                <w:kern w:val="0"/>
                <w:sz w:val="22"/>
              </w:rPr>
            </w:pPr>
            <w:r>
              <w:rPr>
                <w:rFonts w:hint="eastAsia" w:ascii="宋体" w:hAnsi="宋体" w:eastAsia="宋体" w:cs="宋体"/>
                <w:kern w:val="0"/>
                <w:sz w:val="22"/>
              </w:rPr>
              <w:t>　</w:t>
            </w:r>
          </w:p>
        </w:tc>
      </w:tr>
      <w:tr w14:paraId="27D06D3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2700" w:hRule="atLeast"/>
        </w:trPr>
        <w:tc>
          <w:tcPr>
            <w:tcW w:w="2567" w:type="dxa"/>
            <w:gridSpan w:val="2"/>
            <w:tcBorders>
              <w:top w:val="single" w:color="auto" w:sz="4" w:space="0"/>
              <w:left w:val="single" w:color="auto" w:sz="4" w:space="0"/>
              <w:bottom w:val="single" w:color="auto" w:sz="4" w:space="0"/>
              <w:right w:val="nil"/>
            </w:tcBorders>
            <w:textDirection w:val="tbRlV"/>
            <w:vAlign w:val="center"/>
          </w:tcPr>
          <w:p w14:paraId="6A259364">
            <w:pPr>
              <w:widowControl/>
              <w:ind w:left="113" w:right="113"/>
              <w:jc w:val="left"/>
              <w:rPr>
                <w:rFonts w:ascii="宋体" w:hAnsi="宋体" w:eastAsia="宋体" w:cs="宋体"/>
                <w:kern w:val="0"/>
                <w:sz w:val="22"/>
              </w:rPr>
            </w:pPr>
            <w:r>
              <w:rPr>
                <w:rFonts w:hint="eastAsia" w:ascii="宋体" w:hAnsi="宋体" w:eastAsia="宋体" w:cs="宋体"/>
                <w:kern w:val="0"/>
                <w:sz w:val="22"/>
              </w:rPr>
              <w:t xml:space="preserve">教学设计或教学思路                                     </w:t>
            </w:r>
          </w:p>
        </w:tc>
        <w:tc>
          <w:tcPr>
            <w:tcW w:w="7133" w:type="dxa"/>
            <w:gridSpan w:val="7"/>
            <w:tcBorders>
              <w:top w:val="single" w:color="auto" w:sz="4" w:space="0"/>
              <w:left w:val="single" w:color="auto" w:sz="4" w:space="0"/>
              <w:bottom w:val="single" w:color="auto" w:sz="4" w:space="0"/>
              <w:right w:val="single" w:color="000000" w:sz="4" w:space="0"/>
            </w:tcBorders>
            <w:vAlign w:val="center"/>
          </w:tcPr>
          <w:p w14:paraId="520FB754">
            <w:pPr>
              <w:widowControl/>
              <w:jc w:val="left"/>
              <w:rPr>
                <w:rFonts w:ascii="宋体" w:hAnsi="宋体" w:eastAsia="宋体" w:cs="宋体"/>
                <w:kern w:val="0"/>
                <w:sz w:val="22"/>
              </w:rPr>
            </w:pPr>
            <w:r>
              <w:rPr>
                <w:rFonts w:hint="eastAsia" w:ascii="宋体" w:hAnsi="宋体" w:eastAsia="宋体" w:cs="宋体"/>
                <w:kern w:val="0"/>
                <w:sz w:val="22"/>
              </w:rPr>
              <w:t>1.引入新课</w:t>
            </w:r>
          </w:p>
          <w:p w14:paraId="17AD76B7">
            <w:pPr>
              <w:widowControl/>
              <w:jc w:val="left"/>
              <w:rPr>
                <w:rFonts w:ascii="宋体" w:hAnsi="宋体" w:eastAsia="宋体" w:cs="宋体"/>
                <w:kern w:val="0"/>
                <w:sz w:val="22"/>
              </w:rPr>
            </w:pPr>
            <w:r>
              <w:rPr>
                <w:rFonts w:hint="eastAsia" w:ascii="宋体" w:hAnsi="宋体" w:eastAsia="宋体" w:cs="宋体"/>
                <w:kern w:val="0"/>
                <w:sz w:val="22"/>
              </w:rPr>
              <w:t>2.讲解</w:t>
            </w:r>
          </w:p>
          <w:p w14:paraId="442E3D17">
            <w:pPr>
              <w:widowControl/>
              <w:jc w:val="left"/>
              <w:rPr>
                <w:rFonts w:ascii="宋体" w:hAnsi="宋体" w:eastAsia="宋体" w:cs="宋体"/>
                <w:kern w:val="0"/>
                <w:sz w:val="22"/>
              </w:rPr>
            </w:pPr>
            <w:r>
              <w:rPr>
                <w:rFonts w:hint="eastAsia" w:ascii="宋体" w:hAnsi="宋体" w:eastAsia="宋体" w:cs="宋体"/>
                <w:kern w:val="0"/>
                <w:sz w:val="22"/>
              </w:rPr>
              <w:t>3.分析讨论</w:t>
            </w:r>
          </w:p>
          <w:p w14:paraId="5CB7D36B">
            <w:pPr>
              <w:widowControl/>
              <w:jc w:val="left"/>
              <w:rPr>
                <w:rFonts w:ascii="宋体" w:hAnsi="宋体" w:eastAsia="宋体" w:cs="宋体"/>
                <w:kern w:val="0"/>
                <w:sz w:val="22"/>
              </w:rPr>
            </w:pPr>
            <w:r>
              <w:rPr>
                <w:rFonts w:hint="eastAsia" w:ascii="宋体" w:hAnsi="宋体" w:eastAsia="宋体" w:cs="宋体"/>
                <w:kern w:val="0"/>
                <w:sz w:val="22"/>
              </w:rPr>
              <w:t>4.归纳总结</w:t>
            </w:r>
          </w:p>
          <w:p w14:paraId="33A52392">
            <w:pPr>
              <w:widowControl/>
              <w:jc w:val="left"/>
              <w:rPr>
                <w:rFonts w:ascii="宋体" w:hAnsi="宋体" w:eastAsia="宋体" w:cs="宋体"/>
                <w:kern w:val="0"/>
                <w:sz w:val="22"/>
              </w:rPr>
            </w:pPr>
          </w:p>
        </w:tc>
      </w:tr>
      <w:tr w14:paraId="06829BD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9" w:hRule="atLeast"/>
        </w:trPr>
        <w:tc>
          <w:tcPr>
            <w:tcW w:w="2567" w:type="dxa"/>
            <w:gridSpan w:val="2"/>
            <w:tcBorders>
              <w:top w:val="single" w:color="auto" w:sz="4" w:space="0"/>
              <w:left w:val="single" w:color="auto" w:sz="4" w:space="0"/>
              <w:bottom w:val="single" w:color="auto" w:sz="4" w:space="0"/>
              <w:right w:val="single" w:color="auto" w:sz="4" w:space="0"/>
            </w:tcBorders>
            <w:vAlign w:val="center"/>
          </w:tcPr>
          <w:p w14:paraId="17394716">
            <w:pPr>
              <w:widowControl/>
              <w:jc w:val="left"/>
              <w:rPr>
                <w:rFonts w:ascii="宋体" w:hAnsi="宋体" w:eastAsia="宋体" w:cs="宋体"/>
                <w:kern w:val="0"/>
                <w:sz w:val="22"/>
              </w:rPr>
            </w:pPr>
            <w:r>
              <w:rPr>
                <w:rFonts w:hint="eastAsia" w:ascii="宋体" w:hAnsi="宋体" w:eastAsia="宋体" w:cs="宋体"/>
                <w:kern w:val="0"/>
                <w:sz w:val="22"/>
              </w:rPr>
              <w:t>作业布置</w:t>
            </w:r>
          </w:p>
        </w:tc>
        <w:tc>
          <w:tcPr>
            <w:tcW w:w="7133" w:type="dxa"/>
            <w:gridSpan w:val="7"/>
            <w:tcBorders>
              <w:top w:val="single" w:color="auto" w:sz="4" w:space="0"/>
              <w:left w:val="nil"/>
              <w:bottom w:val="single" w:color="auto" w:sz="4" w:space="0"/>
              <w:right w:val="single" w:color="auto" w:sz="4" w:space="0"/>
            </w:tcBorders>
            <w:vAlign w:val="center"/>
          </w:tcPr>
          <w:p w14:paraId="79EA8C28">
            <w:pPr>
              <w:widowControl/>
              <w:jc w:val="left"/>
              <w:rPr>
                <w:rFonts w:ascii="宋体" w:hAnsi="宋体" w:eastAsia="宋体" w:cs="宋体"/>
                <w:kern w:val="0"/>
                <w:sz w:val="22"/>
              </w:rPr>
            </w:pPr>
            <w:r>
              <w:rPr>
                <w:rFonts w:hint="eastAsia" w:ascii="宋体" w:hAnsi="宋体" w:eastAsia="宋体" w:cs="宋体"/>
                <w:kern w:val="0"/>
                <w:sz w:val="22"/>
              </w:rPr>
              <w:t>　</w:t>
            </w:r>
          </w:p>
        </w:tc>
      </w:tr>
      <w:tr w14:paraId="3B12A07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9" w:hRule="atLeast"/>
        </w:trPr>
        <w:tc>
          <w:tcPr>
            <w:tcW w:w="2567" w:type="dxa"/>
            <w:gridSpan w:val="2"/>
            <w:tcBorders>
              <w:top w:val="single" w:color="auto" w:sz="4" w:space="0"/>
              <w:left w:val="single" w:color="auto" w:sz="4" w:space="0"/>
              <w:bottom w:val="single" w:color="auto" w:sz="4" w:space="0"/>
              <w:right w:val="single" w:color="auto" w:sz="4" w:space="0"/>
            </w:tcBorders>
            <w:vAlign w:val="center"/>
          </w:tcPr>
          <w:p w14:paraId="4FA65313">
            <w:pPr>
              <w:widowControl/>
              <w:jc w:val="left"/>
              <w:rPr>
                <w:rFonts w:ascii="宋体" w:hAnsi="宋体" w:eastAsia="宋体" w:cs="宋体"/>
                <w:kern w:val="0"/>
                <w:sz w:val="22"/>
              </w:rPr>
            </w:pPr>
            <w:r>
              <w:rPr>
                <w:rFonts w:hint="eastAsia" w:ascii="宋体" w:hAnsi="宋体" w:eastAsia="宋体" w:cs="宋体"/>
                <w:kern w:val="0"/>
                <w:sz w:val="22"/>
              </w:rPr>
              <w:t>教学反思</w:t>
            </w:r>
          </w:p>
        </w:tc>
        <w:tc>
          <w:tcPr>
            <w:tcW w:w="7133" w:type="dxa"/>
            <w:gridSpan w:val="7"/>
            <w:tcBorders>
              <w:top w:val="single" w:color="auto" w:sz="4" w:space="0"/>
              <w:left w:val="nil"/>
              <w:bottom w:val="single" w:color="auto" w:sz="4" w:space="0"/>
              <w:right w:val="single" w:color="auto" w:sz="4" w:space="0"/>
            </w:tcBorders>
            <w:vAlign w:val="center"/>
          </w:tcPr>
          <w:p w14:paraId="7BC260D6">
            <w:pPr>
              <w:widowControl/>
              <w:jc w:val="left"/>
              <w:rPr>
                <w:rFonts w:ascii="宋体" w:hAnsi="宋体" w:eastAsia="宋体" w:cs="宋体"/>
                <w:kern w:val="0"/>
                <w:sz w:val="22"/>
              </w:rPr>
            </w:pPr>
            <w:r>
              <w:rPr>
                <w:rFonts w:hint="eastAsia" w:ascii="宋体" w:hAnsi="宋体" w:eastAsia="宋体" w:cs="宋体"/>
                <w:kern w:val="0"/>
                <w:sz w:val="22"/>
              </w:rPr>
              <w:t>　</w:t>
            </w:r>
          </w:p>
        </w:tc>
      </w:tr>
    </w:tbl>
    <w:p w14:paraId="5D4BBCBA">
      <w:pPr>
        <w:ind w:firstLine="480"/>
        <w:jc w:val="left"/>
        <w:rPr>
          <w:rFonts w:hint="eastAsia"/>
          <w:b/>
          <w:bCs/>
          <w:lang w:val="en-US" w:eastAsia="zh-CN"/>
        </w:rPr>
      </w:pPr>
      <w:r>
        <w:rPr>
          <w:rFonts w:hint="eastAsia"/>
          <w:b/>
          <w:bCs/>
          <w:lang w:val="en-US" w:eastAsia="zh-CN"/>
        </w:rPr>
        <w:t>授课内容：</w:t>
      </w:r>
    </w:p>
    <w:p w14:paraId="7B05F1FE">
      <w:pPr>
        <w:widowControl w:val="0"/>
        <w:wordWrap/>
        <w:adjustRightInd/>
        <w:snapToGrid/>
        <w:spacing w:before="0" w:after="0" w:line="240" w:lineRule="auto"/>
        <w:ind w:left="0" w:leftChars="0" w:right="0" w:firstLine="420" w:firstLineChars="200"/>
        <w:jc w:val="left"/>
        <w:textAlignment w:val="auto"/>
        <w:outlineLvl w:val="9"/>
        <w:rPr>
          <w:rFonts w:hint="eastAsia"/>
          <w:lang w:val="en-US" w:eastAsia="zh-CN"/>
        </w:rPr>
      </w:pPr>
    </w:p>
    <w:p w14:paraId="1B8B23DB">
      <w:pPr>
        <w:widowControl w:val="0"/>
        <w:numPr>
          <w:ilvl w:val="0"/>
          <w:numId w:val="0"/>
        </w:numPr>
        <w:wordWrap/>
        <w:adjustRightInd/>
        <w:snapToGrid/>
        <w:spacing w:before="0" w:after="0" w:line="240" w:lineRule="auto"/>
        <w:ind w:left="0" w:leftChars="0" w:right="0" w:firstLine="420" w:firstLineChars="200"/>
        <w:jc w:val="center"/>
        <w:textAlignment w:val="auto"/>
        <w:outlineLvl w:val="9"/>
        <w:rPr>
          <w:rFonts w:hint="eastAsia" w:ascii="宋体" w:hAnsi="宋体" w:eastAsia="宋体" w:cs="宋体"/>
          <w:lang w:val="en-US" w:eastAsia="zh-CN"/>
        </w:rPr>
      </w:pPr>
      <w:r>
        <w:rPr>
          <w:rFonts w:hint="eastAsia" w:ascii="宋体" w:hAnsi="宋体" w:cs="宋体"/>
          <w:lang w:val="en-US" w:eastAsia="zh-CN"/>
        </w:rPr>
        <w:t>12.</w:t>
      </w:r>
      <w:r>
        <w:rPr>
          <w:rFonts w:hint="eastAsia" w:ascii="宋体" w:hAnsi="宋体" w:eastAsia="宋体" w:cs="宋体"/>
          <w:lang w:val="en-US" w:eastAsia="zh-CN"/>
        </w:rPr>
        <w:t>分析常见铣床夹具</w:t>
      </w:r>
    </w:p>
    <w:p w14:paraId="29048968">
      <w:pPr>
        <w:widowControl w:val="0"/>
        <w:wordWrap/>
        <w:adjustRightInd/>
        <w:snapToGrid/>
        <w:spacing w:before="0" w:after="0" w:line="360" w:lineRule="auto"/>
        <w:ind w:left="0" w:leftChars="0" w:right="0" w:firstLine="420" w:firstLineChars="200"/>
        <w:jc w:val="left"/>
        <w:textAlignment w:val="auto"/>
        <w:outlineLvl w:val="9"/>
        <w:rPr>
          <w:rFonts w:hint="eastAsia"/>
          <w:lang w:val="en-US" w:eastAsia="zh-CN"/>
        </w:rPr>
      </w:pPr>
      <w:bookmarkStart w:id="0" w:name="_GoBack"/>
      <w:r>
        <w:rPr>
          <w:rFonts w:hint="eastAsia"/>
          <w:lang w:val="en-US" w:eastAsia="zh-CN"/>
        </w:rPr>
        <w:t>铣床夹具主要用于加工平面、凹槽及各种成形表面，一般由定位元件、夹紧机构、对刀装置(对刀块与塞尺)、定位键和夹具体组成。按加工中工件的进给方式，铣床夹具主要类型可分为直线进给式铣床夹具、圆周连续进给式铣床夹具和机械仿形进给式的靠模铣床夹具三种。按其应用的铣床类型的不同，分为卧式铣床夹具和立式铣床夹具。专用铣床夹具按其装夹工件特点的不同，又可分为单件铣夹具、多件铣夹具和分度铣夹具。</w:t>
      </w:r>
    </w:p>
    <w:p w14:paraId="662313EB">
      <w:pPr>
        <w:widowControl w:val="0"/>
        <w:wordWrap/>
        <w:adjustRightInd/>
        <w:snapToGrid/>
        <w:spacing w:before="0" w:after="0" w:line="360" w:lineRule="auto"/>
        <w:ind w:left="0" w:leftChars="0" w:right="0" w:firstLine="420" w:firstLineChars="200"/>
        <w:jc w:val="left"/>
        <w:textAlignment w:val="auto"/>
        <w:outlineLvl w:val="9"/>
        <w:rPr>
          <w:rFonts w:hint="eastAsia"/>
          <w:lang w:val="en-US" w:eastAsia="zh-CN"/>
        </w:rPr>
      </w:pPr>
      <w:r>
        <w:rPr>
          <w:rFonts w:hint="eastAsia"/>
          <w:lang w:val="en-US" w:eastAsia="zh-CN"/>
        </w:rPr>
        <w:t>一、按加工中工件的进给方式分类</w:t>
      </w:r>
    </w:p>
    <w:p w14:paraId="25F117BB">
      <w:pPr>
        <w:widowControl w:val="0"/>
        <w:wordWrap/>
        <w:adjustRightInd/>
        <w:snapToGrid/>
        <w:spacing w:before="0" w:after="0" w:line="360" w:lineRule="auto"/>
        <w:ind w:left="0" w:leftChars="0" w:right="0" w:firstLine="420" w:firstLineChars="200"/>
        <w:jc w:val="left"/>
        <w:textAlignment w:val="auto"/>
        <w:outlineLvl w:val="9"/>
        <w:rPr>
          <w:rFonts w:hint="eastAsia"/>
          <w:lang w:val="en-US" w:eastAsia="zh-CN"/>
        </w:rPr>
      </w:pPr>
      <w:r>
        <w:rPr>
          <w:rFonts w:hint="eastAsia"/>
          <w:lang w:val="en-US" w:eastAsia="zh-CN"/>
        </w:rPr>
        <w:t>1.直线进给式铣床夹具</w:t>
      </w:r>
    </w:p>
    <w:p w14:paraId="030F5E06">
      <w:pPr>
        <w:widowControl w:val="0"/>
        <w:wordWrap/>
        <w:adjustRightInd/>
        <w:snapToGrid/>
        <w:spacing w:before="0" w:after="0" w:line="360" w:lineRule="auto"/>
        <w:ind w:left="0" w:leftChars="0" w:right="0" w:firstLine="420" w:firstLineChars="200"/>
        <w:jc w:val="left"/>
        <w:textAlignment w:val="auto"/>
        <w:outlineLvl w:val="9"/>
        <w:rPr>
          <w:rFonts w:hint="eastAsia"/>
          <w:lang w:val="en-US" w:eastAsia="zh-CN"/>
        </w:rPr>
      </w:pPr>
      <w:r>
        <w:rPr>
          <w:rFonts w:hint="eastAsia"/>
          <w:lang w:val="en-US" w:eastAsia="zh-CN"/>
        </w:rPr>
        <w:t>2.圆周连续进给铣床夹具</w:t>
      </w:r>
    </w:p>
    <w:p w14:paraId="295B197E">
      <w:pPr>
        <w:widowControl w:val="0"/>
        <w:wordWrap/>
        <w:adjustRightInd/>
        <w:snapToGrid/>
        <w:spacing w:before="0" w:after="0" w:line="360" w:lineRule="auto"/>
        <w:ind w:left="0" w:leftChars="0" w:right="0" w:firstLine="420" w:firstLineChars="200"/>
        <w:jc w:val="left"/>
        <w:textAlignment w:val="auto"/>
        <w:outlineLvl w:val="9"/>
        <w:rPr>
          <w:rFonts w:hint="eastAsia"/>
          <w:lang w:val="en-US" w:eastAsia="zh-CN"/>
        </w:rPr>
      </w:pPr>
      <w:r>
        <w:rPr>
          <w:rFonts w:hint="eastAsia"/>
          <w:lang w:val="en-US" w:eastAsia="zh-CN"/>
        </w:rPr>
        <w:t>圆周连续进给铣床夹具多数安装在有回转工作台或回转鼓轮的铣床上，加工过程中随回转盘旋转作连续的圆周进给运动，并可在不停车的情况下装卸工件，效率高，适用于大批量生产。</w:t>
      </w:r>
    </w:p>
    <w:p w14:paraId="3F76BDF1">
      <w:pPr>
        <w:widowControl w:val="0"/>
        <w:wordWrap/>
        <w:adjustRightInd/>
        <w:snapToGrid/>
        <w:spacing w:before="0" w:after="0" w:line="360" w:lineRule="auto"/>
        <w:ind w:left="0" w:leftChars="0" w:right="0" w:firstLine="420" w:firstLineChars="200"/>
        <w:jc w:val="left"/>
        <w:textAlignment w:val="auto"/>
        <w:outlineLvl w:val="9"/>
        <w:rPr>
          <w:rFonts w:hint="eastAsia"/>
          <w:lang w:val="en-US" w:eastAsia="zh-CN"/>
        </w:rPr>
      </w:pPr>
      <w:r>
        <w:rPr>
          <w:rFonts w:hint="eastAsia"/>
          <w:lang w:val="en-US" w:eastAsia="zh-CN"/>
        </w:rPr>
        <w:t>3.机械仿形进给式的靠模铣床夹具</w:t>
      </w:r>
    </w:p>
    <w:p w14:paraId="6A8B5F5F">
      <w:pPr>
        <w:widowControl w:val="0"/>
        <w:wordWrap/>
        <w:adjustRightInd/>
        <w:snapToGrid/>
        <w:spacing w:before="0" w:after="0" w:line="360" w:lineRule="auto"/>
        <w:ind w:left="0" w:leftChars="0" w:right="0" w:firstLine="420" w:firstLineChars="200"/>
        <w:jc w:val="left"/>
        <w:textAlignment w:val="auto"/>
        <w:outlineLvl w:val="9"/>
        <w:rPr>
          <w:rFonts w:hint="eastAsia"/>
          <w:lang w:val="en-US" w:eastAsia="zh-CN"/>
        </w:rPr>
      </w:pPr>
      <w:r>
        <w:rPr>
          <w:rFonts w:hint="eastAsia"/>
          <w:lang w:val="en-US" w:eastAsia="zh-CN"/>
        </w:rPr>
        <w:t xml:space="preserve">带有靠模的铣床夹具称为靠模铣床夹具，用于加工各种非圆曲面。靠模的作用是使工件获得辅助运动。靠模铣床夹具可分为直线进给式靠模铣床夹具和圆周进给式靠模铣床夹具两种。 </w:t>
      </w:r>
    </w:p>
    <w:p w14:paraId="6849233C">
      <w:pPr>
        <w:widowControl w:val="0"/>
        <w:wordWrap/>
        <w:adjustRightInd/>
        <w:snapToGrid/>
        <w:spacing w:before="0" w:after="0" w:line="360" w:lineRule="auto"/>
        <w:ind w:left="0" w:leftChars="0" w:right="0" w:firstLine="420" w:firstLineChars="200"/>
        <w:jc w:val="left"/>
        <w:textAlignment w:val="auto"/>
        <w:outlineLvl w:val="9"/>
        <w:rPr>
          <w:rFonts w:hint="eastAsia"/>
          <w:lang w:val="en-US" w:eastAsia="zh-CN"/>
        </w:rPr>
      </w:pPr>
      <w:r>
        <w:rPr>
          <w:rFonts w:hint="eastAsia"/>
          <w:lang w:val="en-US" w:eastAsia="zh-CN"/>
        </w:rPr>
        <w:t>二、装夹工件特点的不同</w:t>
      </w:r>
    </w:p>
    <w:p w14:paraId="666A07E7">
      <w:pPr>
        <w:widowControl w:val="0"/>
        <w:wordWrap/>
        <w:adjustRightInd/>
        <w:snapToGrid/>
        <w:spacing w:before="0" w:after="0" w:line="360" w:lineRule="auto"/>
        <w:ind w:left="0" w:leftChars="0" w:right="0" w:firstLine="420" w:firstLineChars="200"/>
        <w:jc w:val="left"/>
        <w:textAlignment w:val="auto"/>
        <w:outlineLvl w:val="9"/>
        <w:rPr>
          <w:rFonts w:hint="eastAsia"/>
          <w:lang w:val="en-US" w:eastAsia="zh-CN"/>
        </w:rPr>
      </w:pPr>
      <w:r>
        <w:rPr>
          <w:rFonts w:hint="eastAsia"/>
          <w:lang w:val="en-US" w:eastAsia="zh-CN"/>
        </w:rPr>
        <w:t>1.单件铣夹具</w:t>
      </w:r>
    </w:p>
    <w:p w14:paraId="25389FDC">
      <w:pPr>
        <w:widowControl w:val="0"/>
        <w:wordWrap/>
        <w:adjustRightInd/>
        <w:snapToGrid/>
        <w:spacing w:before="0" w:after="0" w:line="360" w:lineRule="auto"/>
        <w:ind w:left="0" w:leftChars="0" w:right="0" w:firstLine="420" w:firstLineChars="200"/>
        <w:jc w:val="left"/>
        <w:textAlignment w:val="auto"/>
        <w:outlineLvl w:val="9"/>
        <w:rPr>
          <w:rFonts w:hint="eastAsia"/>
          <w:lang w:val="en-US" w:eastAsia="zh-CN"/>
        </w:rPr>
      </w:pPr>
      <w:r>
        <w:rPr>
          <w:rFonts w:hint="eastAsia"/>
          <w:lang w:val="en-US" w:eastAsia="zh-CN"/>
        </w:rPr>
        <w:t>单件铣夹具，是指在加工中夹具一次只装夹一个工件，完成特定表面加工的专用夹具。单件铣夹具按工件的主要定位基准表面特征的不同分为外圆面定位夹具、内孔面定位夹具和平面定位夹具等。</w:t>
      </w:r>
    </w:p>
    <w:p w14:paraId="7768B52B">
      <w:pPr>
        <w:widowControl w:val="0"/>
        <w:numPr>
          <w:ilvl w:val="0"/>
          <w:numId w:val="1"/>
        </w:numPr>
        <w:wordWrap/>
        <w:adjustRightInd/>
        <w:snapToGrid/>
        <w:spacing w:before="0" w:after="0" w:line="360" w:lineRule="auto"/>
        <w:ind w:left="0" w:leftChars="0" w:right="0" w:firstLine="420" w:firstLineChars="200"/>
        <w:jc w:val="left"/>
        <w:textAlignment w:val="auto"/>
        <w:outlineLvl w:val="9"/>
        <w:rPr>
          <w:rFonts w:hint="eastAsia"/>
          <w:lang w:val="en-US" w:eastAsia="zh-CN"/>
        </w:rPr>
      </w:pPr>
      <w:r>
        <w:rPr>
          <w:rFonts w:hint="eastAsia"/>
          <w:lang w:val="en-US" w:eastAsia="zh-CN"/>
        </w:rPr>
        <w:t>多件铣夹具</w:t>
      </w:r>
    </w:p>
    <w:p w14:paraId="0B4767B9">
      <w:pPr>
        <w:widowControl w:val="0"/>
        <w:wordWrap/>
        <w:adjustRightInd/>
        <w:snapToGrid/>
        <w:spacing w:before="0" w:after="0" w:line="360" w:lineRule="auto"/>
        <w:ind w:left="0" w:leftChars="0" w:right="0" w:firstLine="420" w:firstLineChars="200"/>
        <w:jc w:val="left"/>
        <w:textAlignment w:val="auto"/>
        <w:outlineLvl w:val="9"/>
        <w:rPr>
          <w:rFonts w:hint="eastAsia"/>
          <w:lang w:val="en-US" w:eastAsia="zh-CN"/>
        </w:rPr>
      </w:pPr>
      <w:r>
        <w:rPr>
          <w:rFonts w:hint="eastAsia"/>
          <w:lang w:val="en-US" w:eastAsia="zh-CN"/>
        </w:rPr>
        <w:t>多件铣夹具，是指在加工中夹具一次装夹多个工件，同时完成多个工件相同特征面加工的专用夹具。多件铣夹具也是按工件主要定位基准表面特征分为外圆面定位夹具、内孔面定位夹具和平面定位夹具等。</w:t>
      </w:r>
    </w:p>
    <w:p w14:paraId="7CC815B1">
      <w:pPr>
        <w:widowControl w:val="0"/>
        <w:numPr>
          <w:ilvl w:val="0"/>
          <w:numId w:val="0"/>
        </w:numPr>
        <w:wordWrap/>
        <w:adjustRightInd/>
        <w:snapToGrid/>
        <w:spacing w:before="0" w:after="0" w:line="360" w:lineRule="auto"/>
        <w:ind w:leftChars="200" w:right="0"/>
        <w:jc w:val="left"/>
        <w:textAlignment w:val="auto"/>
        <w:outlineLvl w:val="9"/>
        <w:rPr>
          <w:rFonts w:hint="eastAsia"/>
          <w:lang w:val="en-US" w:eastAsia="zh-CN"/>
        </w:rPr>
      </w:pPr>
      <w:r>
        <w:rPr>
          <w:rFonts w:hint="eastAsia"/>
          <w:lang w:val="en-US" w:eastAsia="zh-CN"/>
        </w:rPr>
        <w:t>3.分度铣夹具</w:t>
      </w:r>
    </w:p>
    <w:p w14:paraId="7A8A5CA6">
      <w:pPr>
        <w:widowControl w:val="0"/>
        <w:wordWrap/>
        <w:adjustRightInd/>
        <w:snapToGrid/>
        <w:spacing w:before="0" w:after="0" w:line="360" w:lineRule="auto"/>
        <w:ind w:left="0" w:leftChars="0" w:right="0" w:firstLine="420" w:firstLineChars="200"/>
        <w:jc w:val="left"/>
        <w:textAlignment w:val="auto"/>
        <w:outlineLvl w:val="9"/>
        <w:rPr>
          <w:rFonts w:hint="eastAsia"/>
          <w:lang w:val="en-US" w:eastAsia="zh-CN"/>
        </w:rPr>
      </w:pPr>
      <w:r>
        <w:rPr>
          <w:rFonts w:hint="eastAsia"/>
          <w:lang w:val="en-US" w:eastAsia="zh-CN"/>
        </w:rPr>
        <w:t>分度铣夹具，是指在加工中对工件一次性装夹而完成多工位相同特征面加工的专用夹具。此类夹具的结构可分为两个部分，即固定部分和转动（或移动）部分。工件是固定在转动（或移动）机构上，当完成一个特征面的加工后，工件会随可动部分机构转过一定角度或移动一定距离，对下一个特征面进行加工，直至完成全部加工内容。分度铣床夹具按一次装夹工件的数量划分，分为单件分度铣夹具和多件分度铣夹具。分度铣夹具按工件的主要定位基准表面的不同，又可分为外圆面定位夹具和内孔面定位夹具等。</w:t>
      </w:r>
      <w:r>
        <w:rPr>
          <w:rFonts w:hint="eastAsia"/>
          <w:lang w:val="en-US" w:eastAsia="zh-CN"/>
        </w:rPr>
        <w:br w:type="textWrapping"/>
      </w:r>
    </w:p>
    <w:p w14:paraId="00F989BA">
      <w:pPr>
        <w:widowControl w:val="0"/>
        <w:wordWrap/>
        <w:adjustRightInd/>
        <w:snapToGrid/>
        <w:spacing w:before="0" w:after="0" w:line="360" w:lineRule="auto"/>
        <w:ind w:left="0" w:leftChars="0" w:right="0" w:firstLine="420" w:firstLineChars="200"/>
        <w:jc w:val="left"/>
        <w:textAlignment w:val="auto"/>
        <w:outlineLvl w:val="9"/>
        <w:rPr>
          <w:rFonts w:hint="eastAsia"/>
          <w:lang w:val="en-US" w:eastAsia="zh-CN"/>
        </w:rPr>
      </w:pPr>
    </w:p>
    <w:p w14:paraId="7B8A3966">
      <w:pPr>
        <w:widowControl w:val="0"/>
        <w:wordWrap/>
        <w:adjustRightInd/>
        <w:snapToGrid/>
        <w:spacing w:before="0" w:after="0" w:line="360" w:lineRule="auto"/>
        <w:ind w:left="0" w:leftChars="0" w:right="0" w:firstLine="420" w:firstLineChars="200"/>
        <w:jc w:val="left"/>
        <w:textAlignment w:val="auto"/>
        <w:outlineLvl w:val="9"/>
        <w:rPr>
          <w:rFonts w:hint="eastAsia"/>
          <w:lang w:val="en-US" w:eastAsia="zh-CN"/>
        </w:rPr>
      </w:pPr>
    </w:p>
    <w:bookmarkEnd w:id="0"/>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中宋">
    <w:panose1 w:val="02010600040101010101"/>
    <w:charset w:val="86"/>
    <w:family w:val="auto"/>
    <w:pitch w:val="default"/>
    <w:sig w:usb0="00000287" w:usb1="080F0000" w:usb2="00000000" w:usb3="00000000" w:csb0="0004009F" w:csb1="DFD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222120E"/>
    <w:multiLevelType w:val="singleLevel"/>
    <w:tmpl w:val="6222120E"/>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view w:val="normal"/>
  <w:zoom w:percent="120"/>
  <w:bordersDoNotSurroundHeader w:val="1"/>
  <w:bordersDoNotSurroundFooter w:val="1"/>
  <w:documentProtection w:enforcement="0"/>
  <w:defaultTabStop w:val="420"/>
  <w:drawingGridHorizontalSpacing w:val="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doNotUseIndentAsNumberingTabStop/>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1"/>
  </w:compat>
  <w:docVars>
    <w:docVar w:name="commondata" w:val="eyJoZGlkIjoiZWQ0ODM0N2Y0NGUzNTlhZDQxMmE0OTFhODFmZjcyYzAifQ=="/>
  </w:docVars>
  <w:rsids>
    <w:rsidRoot w:val="00000000"/>
    <w:rsid w:val="15D742B2"/>
    <w:rsid w:val="1DCC6FE0"/>
    <w:rsid w:val="49ED52AB"/>
    <w:rsid w:val="71886E1B"/>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0" w:semiHidden="0" w:name="header"/>
    <w:lsdException w:uiPriority="0"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nhideWhenUsed="0" w:uiPriority="0" w:semiHidden="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link w:val="15"/>
    <w:semiHidden/>
    <w:unhideWhenUsed/>
    <w:qFormat/>
    <w:uiPriority w:val="9"/>
    <w:pPr>
      <w:keepNext/>
      <w:keepLines/>
      <w:widowControl w:val="0"/>
      <w:spacing w:before="260" w:beforeAutospacing="0" w:after="260" w:afterAutospacing="0" w:line="415" w:lineRule="auto"/>
      <w:ind w:left="0" w:right="0"/>
      <w:jc w:val="both"/>
      <w:outlineLvl w:val="2"/>
    </w:pPr>
    <w:rPr>
      <w:rFonts w:hint="default" w:ascii="Times New Roman" w:hAnsi="Times New Roman" w:eastAsia="宋体" w:cs="Times New Roman"/>
      <w:b/>
      <w:kern w:val="2"/>
      <w:sz w:val="32"/>
      <w:szCs w:val="32"/>
      <w:lang w:val="en-US" w:eastAsia="zh-CN" w:bidi="ar-SA"/>
    </w:rPr>
  </w:style>
  <w:style w:type="character" w:default="1" w:styleId="8">
    <w:name w:val="Default Paragraph Font"/>
    <w:semiHidden/>
    <w:unhideWhenUsed/>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3">
    <w:name w:val="Date"/>
    <w:basedOn w:val="1"/>
    <w:next w:val="1"/>
    <w:link w:val="13"/>
    <w:uiPriority w:val="0"/>
    <w:pPr>
      <w:ind w:left="100" w:leftChars="2500"/>
    </w:pPr>
    <w:rPr>
      <w:rFonts w:ascii="Times New Roman" w:hAnsi="Times New Roman" w:eastAsia="宋体" w:cs="Times New Roman"/>
      <w:szCs w:val="24"/>
    </w:rPr>
  </w:style>
  <w:style w:type="paragraph" w:styleId="4">
    <w:name w:val="Balloon Text"/>
    <w:basedOn w:val="1"/>
    <w:link w:val="14"/>
    <w:semiHidden/>
    <w:unhideWhenUsed/>
    <w:uiPriority w:val="99"/>
    <w:rPr>
      <w:sz w:val="18"/>
      <w:szCs w:val="18"/>
    </w:rPr>
  </w:style>
  <w:style w:type="paragraph" w:styleId="5">
    <w:name w:val="footer"/>
    <w:basedOn w:val="1"/>
    <w:link w:val="12"/>
    <w:autoRedefine/>
    <w:unhideWhenUsed/>
    <w:uiPriority w:val="0"/>
    <w:pPr>
      <w:tabs>
        <w:tab w:val="center" w:pos="4153"/>
        <w:tab w:val="right" w:pos="8306"/>
      </w:tabs>
      <w:snapToGrid w:val="0"/>
      <w:jc w:val="left"/>
    </w:pPr>
    <w:rPr>
      <w:sz w:val="18"/>
      <w:szCs w:val="18"/>
    </w:rPr>
  </w:style>
  <w:style w:type="paragraph" w:styleId="6">
    <w:name w:val="header"/>
    <w:basedOn w:val="1"/>
    <w:link w:val="11"/>
    <w:autoRedefine/>
    <w:unhideWhenUsed/>
    <w:qFormat/>
    <w:uiPriority w:val="0"/>
    <w:pPr>
      <w:pBdr>
        <w:bottom w:val="single" w:color="auto" w:sz="6" w:space="1"/>
      </w:pBdr>
      <w:tabs>
        <w:tab w:val="center" w:pos="4153"/>
        <w:tab w:val="right" w:pos="8306"/>
      </w:tabs>
      <w:snapToGrid w:val="0"/>
      <w:jc w:val="center"/>
    </w:pPr>
    <w:rPr>
      <w:sz w:val="18"/>
      <w:szCs w:val="18"/>
    </w:rPr>
  </w:style>
  <w:style w:type="character" w:styleId="9">
    <w:name w:val="Hyperlink"/>
    <w:basedOn w:val="8"/>
    <w:uiPriority w:val="0"/>
    <w:rPr>
      <w:color w:val="0000FF"/>
      <w:u w:val="single"/>
    </w:rPr>
  </w:style>
  <w:style w:type="paragraph" w:customStyle="1" w:styleId="10">
    <w:name w:val="No Spacing"/>
    <w:qFormat/>
    <w:uiPriority w:val="1"/>
    <w:pPr>
      <w:widowControl w:val="0"/>
      <w:spacing w:line="360" w:lineRule="auto"/>
      <w:ind w:firstLine="200" w:firstLineChars="200"/>
    </w:pPr>
    <w:rPr>
      <w:rFonts w:ascii="Calibri" w:hAnsi="Calibri" w:eastAsia="宋体" w:cs="Times New Roman"/>
      <w:kern w:val="2"/>
      <w:sz w:val="24"/>
      <w:szCs w:val="22"/>
      <w:lang w:val="en-US" w:eastAsia="zh-CN" w:bidi="ar-SA"/>
    </w:rPr>
  </w:style>
  <w:style w:type="character" w:customStyle="1" w:styleId="11">
    <w:name w:val="页眉 Char"/>
    <w:basedOn w:val="8"/>
    <w:link w:val="6"/>
    <w:autoRedefine/>
    <w:uiPriority w:val="99"/>
    <w:rPr>
      <w:sz w:val="18"/>
      <w:szCs w:val="18"/>
    </w:rPr>
  </w:style>
  <w:style w:type="character" w:customStyle="1" w:styleId="12">
    <w:name w:val="页脚 Char"/>
    <w:basedOn w:val="8"/>
    <w:link w:val="5"/>
    <w:autoRedefine/>
    <w:uiPriority w:val="99"/>
    <w:rPr>
      <w:sz w:val="18"/>
      <w:szCs w:val="18"/>
    </w:rPr>
  </w:style>
  <w:style w:type="character" w:customStyle="1" w:styleId="13">
    <w:name w:val="日期 Char"/>
    <w:basedOn w:val="8"/>
    <w:link w:val="3"/>
    <w:autoRedefine/>
    <w:uiPriority w:val="0"/>
    <w:rPr>
      <w:rFonts w:ascii="Times New Roman" w:hAnsi="Times New Roman" w:eastAsia="宋体" w:cs="Times New Roman"/>
      <w:szCs w:val="24"/>
    </w:rPr>
  </w:style>
  <w:style w:type="character" w:customStyle="1" w:styleId="14">
    <w:name w:val="批注框文本 Char"/>
    <w:basedOn w:val="8"/>
    <w:link w:val="4"/>
    <w:semiHidden/>
    <w:uiPriority w:val="99"/>
    <w:rPr>
      <w:sz w:val="18"/>
      <w:szCs w:val="18"/>
    </w:rPr>
  </w:style>
  <w:style w:type="character" w:customStyle="1" w:styleId="15">
    <w:name w:val="标题 3 Char"/>
    <w:basedOn w:val="8"/>
    <w:link w:val="2"/>
    <w:uiPriority w:val="0"/>
    <w:rPr>
      <w:b/>
      <w:kern w:val="2"/>
      <w:sz w:val="32"/>
      <w:szCs w:val="3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1012</Words>
  <Characters>1028</Characters>
  <Lines>8</Lines>
  <Paragraphs>2</Paragraphs>
  <TotalTime>0</TotalTime>
  <ScaleCrop>false</ScaleCrop>
  <LinksUpToDate>false</LinksUpToDate>
  <CharactersWithSpaces>1080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2021-08-24T14:19:00Z</dcterms:created>
  <dc:creator>Administrator</dc:creator>
  <cp:lastModifiedBy>Administrator</cp:lastModifiedBy>
  <dcterms:modified xsi:type="dcterms:W3CDTF">2025-02-25T07:48:06Z</dcterms:modified>
  <dc:title>贵州电子科技职业学院教案首页暨教案</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9568D213B2814C7583E87C7450C3DE84_12</vt:lpwstr>
  </property>
  <property fmtid="{D5CDD505-2E9C-101B-9397-08002B2CF9AE}" pid="4" name="KSOTemplateDocerSaveRecord">
    <vt:lpwstr>eyJoZGlkIjoiZWQ0ODM0N2Y0NGUzNTlhZDQxMmE0OTFhODFmZjcyYzAifQ==</vt:lpwstr>
  </property>
</Properties>
</file>